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A51A" w14:textId="77777777" w:rsidR="00FE758D" w:rsidRPr="00FE758D" w:rsidRDefault="00FE758D" w:rsidP="00FE758D">
      <w:pPr>
        <w:pStyle w:val="Odstavecseseznamem"/>
        <w:ind w:left="0"/>
        <w:jc w:val="both"/>
        <w:rPr>
          <w:rFonts w:ascii="Times New Roman" w:hAnsi="Times New Roman" w:cs="Times New Roman"/>
          <w:sz w:val="24"/>
          <w:szCs w:val="24"/>
        </w:rPr>
      </w:pPr>
      <w:r w:rsidRPr="00FE758D">
        <w:rPr>
          <w:rFonts w:ascii="Times New Roman" w:hAnsi="Times New Roman" w:cs="Times New Roman"/>
          <w:sz w:val="24"/>
          <w:szCs w:val="24"/>
        </w:rPr>
        <w:t>Pojmem „výdejní box“ je obecně označován automatizovaný box s několika schránkami, prostřednictvím kterého jsou doručovány zásilky. V naprosté většině případů jsou výdejní boxy napájeny solárními články a nevyžadují napojení na energetickou síť, tudíž jsou energeticky zcela soběstačné. Pro zabezpečení proti pádu do země zpravidla ukotveny pomocí závitových tyčí či položeny na betonovém prefabrikátu. Výdejní boxy jsou většinově instalovány na veřejném prostranství nebo uvnitř stavby (např. obchodního centra, dopravní terminál). MMR je toho názoru, že výdejní boxy nelze považovat ani za stavbu, ani za výrobky plnící funkci stavby ve smyslu § 5 odst. 1 stavebního zákona, a proto nepodléhají posuzování podle stavebního zákona.</w:t>
      </w:r>
    </w:p>
    <w:p w14:paraId="05EBA187" w14:textId="77777777" w:rsidR="00FE758D" w:rsidRPr="00FE758D" w:rsidRDefault="00FE758D" w:rsidP="00FE758D">
      <w:pPr>
        <w:pStyle w:val="Odstavecseseznamem"/>
        <w:ind w:left="0"/>
        <w:jc w:val="both"/>
        <w:rPr>
          <w:rFonts w:ascii="Times New Roman" w:hAnsi="Times New Roman" w:cs="Times New Roman"/>
          <w:sz w:val="24"/>
          <w:szCs w:val="24"/>
        </w:rPr>
      </w:pPr>
      <w:r w:rsidRPr="00FE758D">
        <w:rPr>
          <w:rFonts w:ascii="Times New Roman" w:hAnsi="Times New Roman" w:cs="Times New Roman"/>
          <w:sz w:val="24"/>
          <w:szCs w:val="24"/>
        </w:rPr>
        <w:t>Výdejní boxy nelze považovat ani za zařízení. Dle § 7 odst. 1 stavebního zákona se zařízením rozumí technické zařízení nebo reklamní zařízení, pokud nejde o stavbu, které vzniká za účelem užívání na určitém místě. Reklamním zařízením se v tomto zákoně rozumí panel, tabule, deska nebo konstrukce, které slouží k šíření reklamy nebo jiných informací (§ 7 odst. 2).</w:t>
      </w:r>
      <w:r w:rsidRPr="00FE758D">
        <w:rPr>
          <w:rFonts w:ascii="Times New Roman" w:hAnsi="Times New Roman" w:cs="Times New Roman"/>
          <w:sz w:val="24"/>
          <w:szCs w:val="24"/>
        </w:rPr>
        <w:br/>
        <w:t>Reklamní zařízení o celkové ploše větší než 8 m² se považuje za stavbu.</w:t>
      </w:r>
    </w:p>
    <w:p w14:paraId="3BA06BAB" w14:textId="77777777" w:rsidR="00FE758D" w:rsidRPr="00FE758D" w:rsidRDefault="00FE758D" w:rsidP="00FE758D">
      <w:pPr>
        <w:pStyle w:val="Odstavecseseznamem"/>
        <w:ind w:left="0"/>
        <w:jc w:val="both"/>
        <w:rPr>
          <w:rFonts w:ascii="Times New Roman" w:hAnsi="Times New Roman" w:cs="Times New Roman"/>
          <w:sz w:val="24"/>
          <w:szCs w:val="24"/>
        </w:rPr>
      </w:pPr>
      <w:r w:rsidRPr="00FE758D">
        <w:rPr>
          <w:rFonts w:ascii="Times New Roman" w:hAnsi="Times New Roman" w:cs="Times New Roman"/>
          <w:sz w:val="24"/>
          <w:szCs w:val="24"/>
        </w:rPr>
        <w:t>To, že samotné výdejní boxy nepodléhají režimu stavebního zákona</w:t>
      </w:r>
      <w:r w:rsidRPr="00FE758D">
        <w:rPr>
          <w:rFonts w:ascii="Times New Roman" w:hAnsi="Times New Roman" w:cs="Times New Roman"/>
          <w:color w:val="FF0000"/>
          <w:sz w:val="24"/>
          <w:szCs w:val="24"/>
        </w:rPr>
        <w:t>,</w:t>
      </w:r>
      <w:r w:rsidRPr="00FE758D">
        <w:rPr>
          <w:rFonts w:ascii="Times New Roman" w:hAnsi="Times New Roman" w:cs="Times New Roman"/>
          <w:sz w:val="24"/>
          <w:szCs w:val="24"/>
        </w:rPr>
        <w:t xml:space="preserve"> však automaticky neznamená, že jsou bez jakéhokoliv posouzení a regulace a lze je instalovat bez ohledu na dané území. Vždy je třeba dbát v daném území ochrany veřejných zájmů stanovených dalšími zvláštními zákony, např. zákonem č. 20/1987 Sb., o státní památkové péči, ve znění pozdějších předpisů, či zákonem č. 114/1992 Sb., o ochraně přírody a krajiny, ve znění pozdějších předpisů. Regulace také mohou vyplývat z právních předpisů obcí, např. vymezení lokality</w:t>
      </w:r>
      <w:r w:rsidRPr="00FE758D">
        <w:rPr>
          <w:rFonts w:ascii="Times New Roman" w:hAnsi="Times New Roman" w:cs="Times New Roman"/>
          <w:sz w:val="24"/>
          <w:szCs w:val="24"/>
        </w:rPr>
        <w:br/>
        <w:t>pro instalaci, požadavky na vzhled, dostupnost apod.</w:t>
      </w:r>
    </w:p>
    <w:p w14:paraId="144F5EBC" w14:textId="77777777" w:rsidR="00FE758D" w:rsidRPr="00FE758D" w:rsidRDefault="00FE758D" w:rsidP="00FE758D">
      <w:pPr>
        <w:jc w:val="both"/>
        <w:rPr>
          <w:sz w:val="24"/>
          <w:szCs w:val="24"/>
        </w:rPr>
      </w:pPr>
      <w:hyperlink r:id="rId4" w:tgtFrame="_blank" w:history="1">
        <w:r w:rsidRPr="00FE758D">
          <w:rPr>
            <w:rStyle w:val="Hypertextovodkaz"/>
            <w:rFonts w:eastAsiaTheme="majorEastAsia"/>
            <w:color w:val="337AB7"/>
            <w:sz w:val="24"/>
            <w:szCs w:val="24"/>
          </w:rPr>
          <w:t>Metodické doporučení Ministerstva pro místní rozvoj</w:t>
        </w:r>
      </w:hyperlink>
      <w:r w:rsidRPr="00FE758D">
        <w:rPr>
          <w:sz w:val="24"/>
          <w:szCs w:val="24"/>
        </w:rPr>
        <w:t>.</w:t>
      </w:r>
    </w:p>
    <w:p w14:paraId="43F1FD15" w14:textId="77777777" w:rsidR="00FE758D" w:rsidRPr="00FE758D" w:rsidRDefault="00FE758D" w:rsidP="00FE758D">
      <w:pPr>
        <w:pStyle w:val="Odstavecseseznamem"/>
        <w:spacing w:before="240"/>
        <w:ind w:left="0"/>
        <w:jc w:val="both"/>
        <w:rPr>
          <w:rFonts w:ascii="Times New Roman" w:hAnsi="Times New Roman" w:cs="Times New Roman"/>
          <w:sz w:val="24"/>
          <w:szCs w:val="24"/>
        </w:rPr>
      </w:pPr>
      <w:r w:rsidRPr="00FE758D">
        <w:rPr>
          <w:rFonts w:ascii="Times New Roman" w:hAnsi="Times New Roman" w:cs="Times New Roman"/>
          <w:sz w:val="24"/>
          <w:szCs w:val="24"/>
        </w:rPr>
        <w:t>MPO o dané problematice informuje na webu příspěvkem ze dne 15. 1. 2025</w:t>
      </w:r>
      <w:r w:rsidRPr="00FE758D">
        <w:rPr>
          <w:rFonts w:ascii="Times New Roman" w:hAnsi="Times New Roman" w:cs="Times New Roman"/>
          <w:sz w:val="24"/>
          <w:szCs w:val="24"/>
        </w:rPr>
        <w:br/>
        <w:t xml:space="preserve">(viz </w:t>
      </w:r>
      <w:hyperlink r:id="rId5" w:history="1">
        <w:r w:rsidRPr="00FE758D">
          <w:rPr>
            <w:rStyle w:val="Hypertextovodkaz"/>
            <w:rFonts w:ascii="Times New Roman" w:hAnsi="Times New Roman" w:cs="Times New Roman"/>
            <w:sz w:val="24"/>
            <w:szCs w:val="24"/>
          </w:rPr>
          <w:t>PRO INFORMACI – Umístění výdejních boxů lze regulovat prostřednictvím tržního řádu | MPO</w:t>
        </w:r>
      </w:hyperlink>
      <w:r w:rsidRPr="00FE758D">
        <w:rPr>
          <w:rFonts w:ascii="Times New Roman" w:hAnsi="Times New Roman" w:cs="Times New Roman"/>
          <w:sz w:val="24"/>
          <w:szCs w:val="24"/>
        </w:rPr>
        <w:t>)</w:t>
      </w:r>
    </w:p>
    <w:p w14:paraId="3586DD9B" w14:textId="77777777" w:rsidR="00FE758D" w:rsidRPr="00FE758D" w:rsidRDefault="00FE758D" w:rsidP="00FE758D">
      <w:pPr>
        <w:pStyle w:val="Odstavecseseznamem"/>
        <w:ind w:left="0"/>
        <w:jc w:val="both"/>
        <w:rPr>
          <w:rFonts w:ascii="Times New Roman" w:hAnsi="Times New Roman" w:cs="Times New Roman"/>
          <w:sz w:val="24"/>
          <w:szCs w:val="24"/>
        </w:rPr>
      </w:pPr>
      <w:r w:rsidRPr="00FE758D">
        <w:rPr>
          <w:rFonts w:ascii="Times New Roman" w:hAnsi="Times New Roman" w:cs="Times New Roman"/>
          <w:sz w:val="24"/>
          <w:szCs w:val="24"/>
        </w:rPr>
        <w:t>Obce mohou v rámci přenesené působnosti regulovat tzv. výdejní boxy pomocí tržního řádu, neboť je lze podřadit pod místa pro nabídku a prodej zboží mimo provozovnu určenou k tomuto účelu rozhodnutím, opatřením nebo jiným úkonem vyžadovaným stavebním zákonem.</w:t>
      </w:r>
    </w:p>
    <w:p w14:paraId="11F04805" w14:textId="77777777" w:rsidR="00FE758D" w:rsidRPr="00FE758D" w:rsidRDefault="00FE758D" w:rsidP="00FE758D">
      <w:pPr>
        <w:spacing w:before="240"/>
        <w:jc w:val="both"/>
        <w:rPr>
          <w:sz w:val="24"/>
          <w:szCs w:val="24"/>
        </w:rPr>
      </w:pPr>
      <w:r w:rsidRPr="00FE758D">
        <w:rPr>
          <w:sz w:val="24"/>
          <w:szCs w:val="24"/>
        </w:rPr>
        <w:t>Podle názoru MPO je v daném případě předávání objednaného zboží pomocí boxů podobno situacím předávání zboží při jeho prodeji na tržišti. Byť se jedná o samoobslužná výdejní místa a zpravidla pod širým nebem, jedná se zároveň o místa v obci, kde se uskutečňuje prodej,</w:t>
      </w:r>
      <w:r w:rsidRPr="00FE758D">
        <w:rPr>
          <w:sz w:val="24"/>
          <w:szCs w:val="24"/>
        </w:rPr>
        <w:br/>
        <w:t>a tedy i konkrétní živnost. Jelikož výdejní boxy nepodléhají posuzování podle zákona</w:t>
      </w:r>
      <w:r w:rsidRPr="00FE758D">
        <w:rPr>
          <w:sz w:val="24"/>
          <w:szCs w:val="24"/>
        </w:rPr>
        <w:br/>
        <w:t>č. 283/2021 Sb., stavební zákon, ve znění pozdějších předpisů, lze jejich umístění regulovat prostřednictvím nařízení obce - tzv. tržního řádu vydaného v souladu se zmocněním podle § 18 odst. 1 až 4 živnostenského zákona. Pro úplnost je však nutné dodat, že oprávnění obce regulovat na svém území prodej a poskytování služeb mimo kolaudované provozovny</w:t>
      </w:r>
      <w:r w:rsidRPr="00FE758D">
        <w:rPr>
          <w:sz w:val="24"/>
          <w:szCs w:val="24"/>
        </w:rPr>
        <w:br/>
        <w:t>se vztahuje pouze na ty činnosti, na které se vztahuje též živnostenský zákon.</w:t>
      </w:r>
    </w:p>
    <w:p w14:paraId="4A07B0F2" w14:textId="77777777" w:rsidR="00FE758D" w:rsidRPr="00FE758D" w:rsidRDefault="00FE758D" w:rsidP="00FE758D">
      <w:pPr>
        <w:spacing w:before="240"/>
        <w:jc w:val="both"/>
        <w:rPr>
          <w:sz w:val="24"/>
          <w:szCs w:val="24"/>
        </w:rPr>
      </w:pPr>
      <w:r w:rsidRPr="00FE758D">
        <w:rPr>
          <w:sz w:val="24"/>
          <w:szCs w:val="24"/>
        </w:rPr>
        <w:t>Školení MPO – Seč 10. 4. 2025</w:t>
      </w:r>
    </w:p>
    <w:p w14:paraId="241C188B" w14:textId="77777777" w:rsidR="00FE758D" w:rsidRPr="008F02AF" w:rsidRDefault="00FE758D" w:rsidP="00FE758D">
      <w:pPr>
        <w:jc w:val="both"/>
        <w:rPr>
          <w:sz w:val="24"/>
          <w:szCs w:val="24"/>
        </w:rPr>
      </w:pPr>
      <w:r>
        <w:rPr>
          <w:sz w:val="24"/>
          <w:szCs w:val="24"/>
        </w:rPr>
        <w:t>Problematika se vyvíjí v čase, tržní řád je podpůrný, lze jím regulovat jen dílčí část.</w:t>
      </w:r>
      <w:r>
        <w:rPr>
          <w:sz w:val="24"/>
          <w:szCs w:val="24"/>
        </w:rPr>
        <w:br/>
        <w:t xml:space="preserve">Další souvislost se týká poštovní licence, kterou aktuálně nevlastní např. </w:t>
      </w:r>
      <w:r w:rsidRPr="008F02AF">
        <w:rPr>
          <w:sz w:val="24"/>
          <w:szCs w:val="24"/>
        </w:rPr>
        <w:t xml:space="preserve">provozovatel výdejních boxů </w:t>
      </w:r>
      <w:proofErr w:type="spellStart"/>
      <w:r w:rsidRPr="008F02AF">
        <w:rPr>
          <w:sz w:val="24"/>
          <w:szCs w:val="24"/>
        </w:rPr>
        <w:t>AlzaBox</w:t>
      </w:r>
      <w:proofErr w:type="spellEnd"/>
      <w:r w:rsidRPr="008F02AF">
        <w:rPr>
          <w:sz w:val="24"/>
          <w:szCs w:val="24"/>
        </w:rPr>
        <w:t>.</w:t>
      </w:r>
    </w:p>
    <w:p w14:paraId="64E66429" w14:textId="77777777" w:rsidR="00FE758D" w:rsidRDefault="00FE758D" w:rsidP="00FE758D">
      <w:pPr>
        <w:jc w:val="both"/>
        <w:rPr>
          <w:sz w:val="24"/>
          <w:szCs w:val="24"/>
        </w:rPr>
      </w:pPr>
      <w:r>
        <w:rPr>
          <w:sz w:val="24"/>
          <w:szCs w:val="24"/>
        </w:rPr>
        <w:t>Očekává se novelizace zákona o poštovních službách (gesce MPO). Obce mohou přestupek řešit např. přestupkem narušením vzhledu obce, dle § 66d odstavec 2 písm. b) zákona</w:t>
      </w:r>
      <w:r>
        <w:rPr>
          <w:sz w:val="24"/>
          <w:szCs w:val="24"/>
        </w:rPr>
        <w:br/>
        <w:t xml:space="preserve">č. </w:t>
      </w:r>
      <w:r w:rsidRPr="00A1237D">
        <w:rPr>
          <w:sz w:val="24"/>
          <w:szCs w:val="24"/>
        </w:rPr>
        <w:t>128/2000 Sb.</w:t>
      </w:r>
      <w:r>
        <w:rPr>
          <w:sz w:val="24"/>
          <w:szCs w:val="24"/>
        </w:rPr>
        <w:t>, zá</w:t>
      </w:r>
      <w:r w:rsidRPr="00A1237D">
        <w:rPr>
          <w:sz w:val="24"/>
          <w:szCs w:val="24"/>
        </w:rPr>
        <w:t>kon o obcích (obecní zřízení)</w:t>
      </w:r>
      <w:r>
        <w:rPr>
          <w:sz w:val="24"/>
          <w:szCs w:val="24"/>
        </w:rPr>
        <w:t>, ve znění pozdějších předpisů.</w:t>
      </w:r>
    </w:p>
    <w:p w14:paraId="7FBCD47F" w14:textId="77777777" w:rsidR="00917DA0" w:rsidRDefault="00917DA0"/>
    <w:sectPr w:rsidR="00917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8D"/>
    <w:rsid w:val="00092878"/>
    <w:rsid w:val="00174913"/>
    <w:rsid w:val="00711476"/>
    <w:rsid w:val="00917DA0"/>
    <w:rsid w:val="00E03282"/>
    <w:rsid w:val="00F97C30"/>
    <w:rsid w:val="00FE7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C13C"/>
  <w15:chartTrackingRefBased/>
  <w15:docId w15:val="{EB25B03B-ABFE-430E-89BB-43549709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758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FE758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FE758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FE758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FE758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FE758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FE758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FE758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FE758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FE758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75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E75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E758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E758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E758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E75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E75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E75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E758D"/>
    <w:rPr>
      <w:rFonts w:eastAsiaTheme="majorEastAsia" w:cstheme="majorBidi"/>
      <w:color w:val="272727" w:themeColor="text1" w:themeTint="D8"/>
    </w:rPr>
  </w:style>
  <w:style w:type="paragraph" w:styleId="Nzev">
    <w:name w:val="Title"/>
    <w:basedOn w:val="Normln"/>
    <w:next w:val="Normln"/>
    <w:link w:val="NzevChar"/>
    <w:uiPriority w:val="10"/>
    <w:qFormat/>
    <w:rsid w:val="00FE75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FE75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E758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FE75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E758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FE758D"/>
    <w:rPr>
      <w:i/>
      <w:iCs/>
      <w:color w:val="404040" w:themeColor="text1" w:themeTint="BF"/>
    </w:rPr>
  </w:style>
  <w:style w:type="paragraph" w:styleId="Odstavecseseznamem">
    <w:name w:val="List Paragraph"/>
    <w:basedOn w:val="Normln"/>
    <w:link w:val="OdstavecseseznamemChar"/>
    <w:uiPriority w:val="34"/>
    <w:qFormat/>
    <w:rsid w:val="00FE758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FE758D"/>
    <w:rPr>
      <w:i/>
      <w:iCs/>
      <w:color w:val="0F4761" w:themeColor="accent1" w:themeShade="BF"/>
    </w:rPr>
  </w:style>
  <w:style w:type="paragraph" w:styleId="Vrazncitt">
    <w:name w:val="Intense Quote"/>
    <w:basedOn w:val="Normln"/>
    <w:next w:val="Normln"/>
    <w:link w:val="VrazncittChar"/>
    <w:uiPriority w:val="30"/>
    <w:qFormat/>
    <w:rsid w:val="00FE758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FE758D"/>
    <w:rPr>
      <w:i/>
      <w:iCs/>
      <w:color w:val="0F4761" w:themeColor="accent1" w:themeShade="BF"/>
    </w:rPr>
  </w:style>
  <w:style w:type="character" w:styleId="Odkazintenzivn">
    <w:name w:val="Intense Reference"/>
    <w:basedOn w:val="Standardnpsmoodstavce"/>
    <w:uiPriority w:val="32"/>
    <w:qFormat/>
    <w:rsid w:val="00FE758D"/>
    <w:rPr>
      <w:b/>
      <w:bCs/>
      <w:smallCaps/>
      <w:color w:val="0F4761" w:themeColor="accent1" w:themeShade="BF"/>
      <w:spacing w:val="5"/>
    </w:rPr>
  </w:style>
  <w:style w:type="character" w:styleId="Hypertextovodkaz">
    <w:name w:val="Hyperlink"/>
    <w:rsid w:val="00FE758D"/>
    <w:rPr>
      <w:color w:val="0000FF"/>
      <w:u w:val="single"/>
    </w:rPr>
  </w:style>
  <w:style w:type="character" w:customStyle="1" w:styleId="OdstavecseseznamemChar">
    <w:name w:val="Odstavec se seznamem Char"/>
    <w:basedOn w:val="Standardnpsmoodstavce"/>
    <w:link w:val="Odstavecseseznamem"/>
    <w:uiPriority w:val="34"/>
    <w:locked/>
    <w:rsid w:val="00FE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po.gov.cz/cz/podnikani/zivnostenske-podnikani/pro-informaci-_-umisteni-vydejnich-boxu-lze-regulovat-prostrednictvim-trzniho-radu--285536/" TargetMode="External"/><Relationship Id="rId4" Type="http://schemas.openxmlformats.org/officeDocument/2006/relationships/hyperlink" Target="https://mmr.gov.cz/getattachment/54f79aa4-7a4d-4828-8568-afdcc2c2301e/Vydejni-boxy_metodika_MMR_leden_2025.pdf.aspx?lang=cs-CZ&amp;ext=.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3270</Characters>
  <Application>Microsoft Office Word</Application>
  <DocSecurity>4</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 Vítězslav Ondřej</dc:creator>
  <cp:keywords/>
  <dc:description/>
  <cp:lastModifiedBy>Jandlová Kateřina</cp:lastModifiedBy>
  <cp:revision>2</cp:revision>
  <dcterms:created xsi:type="dcterms:W3CDTF">2026-03-17T07:53:00Z</dcterms:created>
  <dcterms:modified xsi:type="dcterms:W3CDTF">2026-03-17T07:53:00Z</dcterms:modified>
</cp:coreProperties>
</file>